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10204"/>
      </w:tblGrid>
      <w:tr w:rsidR="00190931" w:rsidTr="00190931">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90931">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90931">
                    <w:trPr>
                      <w:trHeight w:val="225"/>
                      <w:jc w:val="center"/>
                    </w:trPr>
                    <w:tc>
                      <w:tcPr>
                        <w:tcW w:w="5000" w:type="pct"/>
                        <w:shd w:val="clear" w:color="auto" w:fill="FFFFFF"/>
                        <w:vAlign w:val="center"/>
                        <w:hideMark/>
                      </w:tcPr>
                      <w:p w:rsidR="00190931" w:rsidRDefault="00190931"/>
                    </w:tc>
                  </w:tr>
                  <w:tr w:rsidR="00190931">
                    <w:trPr>
                      <w:jc w:val="center"/>
                    </w:trPr>
                    <w:tc>
                      <w:tcPr>
                        <w:tcW w:w="0" w:type="auto"/>
                        <w:shd w:val="clear" w:color="auto" w:fill="FFFFFF"/>
                        <w:vAlign w:val="center"/>
                        <w:hideMark/>
                      </w:tcPr>
                      <w:tbl>
                        <w:tblPr>
                          <w:tblpPr w:vertAnchor="text"/>
                          <w:tblW w:w="2790" w:type="dxa"/>
                          <w:tblCellMar>
                            <w:left w:w="0" w:type="dxa"/>
                            <w:right w:w="0" w:type="dxa"/>
                          </w:tblCellMar>
                          <w:tblLook w:val="04A0" w:firstRow="1" w:lastRow="0" w:firstColumn="1" w:lastColumn="0" w:noHBand="0" w:noVBand="1"/>
                        </w:tblPr>
                        <w:tblGrid>
                          <w:gridCol w:w="2790"/>
                        </w:tblGrid>
                        <w:tr w:rsidR="00190931">
                          <w:tc>
                            <w:tcPr>
                              <w:tcW w:w="0" w:type="auto"/>
                              <w:vAlign w:val="center"/>
                              <w:hideMark/>
                            </w:tcPr>
                            <w:p w:rsidR="00190931" w:rsidRDefault="00190931">
                              <w:pPr>
                                <w:rPr>
                                  <w:rFonts w:eastAsia="Times New Roman"/>
                                  <w:sz w:val="20"/>
                                  <w:szCs w:val="20"/>
                                </w:rPr>
                              </w:pPr>
                            </w:p>
                          </w:tc>
                        </w:tr>
                      </w:tbl>
                      <w:tbl>
                        <w:tblPr>
                          <w:tblpPr w:vertAnchor="text" w:tblpXSpec="right" w:tblpYSpec="center"/>
                          <w:tblW w:w="2100" w:type="dxa"/>
                          <w:tblCellMar>
                            <w:left w:w="0" w:type="dxa"/>
                            <w:right w:w="0" w:type="dxa"/>
                          </w:tblCellMar>
                          <w:tblLook w:val="04A0" w:firstRow="1" w:lastRow="0" w:firstColumn="1" w:lastColumn="0" w:noHBand="0" w:noVBand="1"/>
                        </w:tblPr>
                        <w:tblGrid>
                          <w:gridCol w:w="3000"/>
                        </w:tblGrid>
                        <w:tr w:rsidR="00190931">
                          <w:tc>
                            <w:tcPr>
                              <w:tcW w:w="0" w:type="auto"/>
                              <w:vAlign w:val="center"/>
                              <w:hideMark/>
                            </w:tcPr>
                            <w:tbl>
                              <w:tblPr>
                                <w:tblpPr w:vertAnchor="text" w:tblpXSpec="right" w:tblpYSpec="center"/>
                                <w:tblW w:w="1500" w:type="dxa"/>
                                <w:tblCellMar>
                                  <w:left w:w="0" w:type="dxa"/>
                                  <w:right w:w="0" w:type="dxa"/>
                                </w:tblCellMar>
                                <w:tblLook w:val="04A0" w:firstRow="1" w:lastRow="0" w:firstColumn="1" w:lastColumn="0" w:noHBand="0" w:noVBand="1"/>
                              </w:tblPr>
                              <w:tblGrid>
                                <w:gridCol w:w="3000"/>
                              </w:tblGrid>
                              <w:tr w:rsidR="00190931">
                                <w:trPr>
                                  <w:trHeight w:val="930"/>
                                </w:trPr>
                                <w:tc>
                                  <w:tcPr>
                                    <w:tcW w:w="1500" w:type="dxa"/>
                                    <w:vAlign w:val="center"/>
                                    <w:hideMark/>
                                  </w:tcPr>
                                  <w:p w:rsidR="00190931" w:rsidRDefault="00190931">
                                    <w:pPr>
                                      <w:jc w:val="center"/>
                                    </w:pPr>
                                    <w:r>
                                      <w:rPr>
                                        <w:noProof/>
                                        <w:color w:val="0A8CCE"/>
                                      </w:rPr>
                                      <w:drawing>
                                        <wp:inline distT="0" distB="0" distL="0" distR="0">
                                          <wp:extent cx="1905000" cy="514350"/>
                                          <wp:effectExtent l="0" t="0" r="0" b="0"/>
                                          <wp:docPr id="1" name="Imagen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tc>
                              </w:tr>
                              <w:tr w:rsidR="00190931">
                                <w:trPr>
                                  <w:trHeight w:val="225"/>
                                </w:trPr>
                                <w:tc>
                                  <w:tcPr>
                                    <w:tcW w:w="5000" w:type="pct"/>
                                    <w:vAlign w:val="center"/>
                                    <w:hideMark/>
                                  </w:tcPr>
                                  <w:p w:rsidR="00190931" w:rsidRDefault="00190931"/>
                                </w:tc>
                              </w:tr>
                            </w:tbl>
                            <w:p w:rsidR="00190931" w:rsidRDefault="00190931">
                              <w:pPr>
                                <w:rPr>
                                  <w:rFonts w:eastAsia="Times New Roman"/>
                                  <w:sz w:val="20"/>
                                  <w:szCs w:val="20"/>
                                </w:rPr>
                              </w:pPr>
                            </w:p>
                          </w:tc>
                        </w:tr>
                      </w:tbl>
                      <w:p w:rsidR="00190931" w:rsidRDefault="00190931">
                        <w:pPr>
                          <w:rPr>
                            <w:rFonts w:eastAsia="Times New Roman"/>
                            <w:sz w:val="20"/>
                            <w:szCs w:val="20"/>
                          </w:rPr>
                        </w:pPr>
                      </w:p>
                    </w:tc>
                  </w:tr>
                  <w:tr w:rsidR="00190931">
                    <w:trPr>
                      <w:trHeight w:val="150"/>
                      <w:jc w:val="center"/>
                    </w:trPr>
                    <w:tc>
                      <w:tcPr>
                        <w:tcW w:w="5000" w:type="pct"/>
                        <w:shd w:val="clear" w:color="auto" w:fill="FFFFFF"/>
                        <w:vAlign w:val="center"/>
                        <w:hideMark/>
                      </w:tcPr>
                      <w:p w:rsidR="00190931" w:rsidRDefault="00190931">
                        <w:pPr>
                          <w:rPr>
                            <w:rFonts w:eastAsia="Times New Roman"/>
                            <w:sz w:val="20"/>
                            <w:szCs w:val="20"/>
                          </w:rPr>
                        </w:pPr>
                      </w:p>
                    </w:tc>
                  </w:tr>
                </w:tbl>
                <w:p w:rsidR="00190931" w:rsidRDefault="00190931">
                  <w:pPr>
                    <w:jc w:val="center"/>
                    <w:rPr>
                      <w:rFonts w:eastAsia="Times New Roman"/>
                      <w:sz w:val="20"/>
                      <w:szCs w:val="20"/>
                    </w:rPr>
                  </w:pPr>
                </w:p>
              </w:tc>
            </w:tr>
          </w:tbl>
          <w:p w:rsidR="00190931" w:rsidRDefault="00190931">
            <w:pPr>
              <w:jc w:val="center"/>
              <w:rPr>
                <w:rFonts w:eastAsia="Times New Roman"/>
                <w:sz w:val="20"/>
                <w:szCs w:val="20"/>
              </w:rPr>
            </w:pPr>
          </w:p>
        </w:tc>
      </w:tr>
    </w:tbl>
    <w:p w:rsidR="00190931" w:rsidRDefault="00190931" w:rsidP="00190931">
      <w:r>
        <w:rPr>
          <w:rFonts w:ascii="Arial" w:hAnsi="Arial" w:cs="Arial"/>
          <w:sz w:val="17"/>
          <w:szCs w:val="17"/>
        </w:rPr>
        <w:t> </w:t>
      </w:r>
    </w:p>
    <w:tbl>
      <w:tblPr>
        <w:tblW w:w="5000" w:type="pct"/>
        <w:shd w:val="clear" w:color="auto" w:fill="FFFFFF"/>
        <w:tblCellMar>
          <w:left w:w="0" w:type="dxa"/>
          <w:right w:w="0" w:type="dxa"/>
        </w:tblCellMar>
        <w:tblLook w:val="04A0" w:firstRow="1" w:lastRow="0" w:firstColumn="1" w:lastColumn="0" w:noHBand="0" w:noVBand="1"/>
      </w:tblPr>
      <w:tblGrid>
        <w:gridCol w:w="10204"/>
      </w:tblGrid>
      <w:tr w:rsidR="00190931" w:rsidTr="00190931">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923"/>
            </w:tblGrid>
            <w:tr w:rsidR="00190931">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923"/>
                  </w:tblGrid>
                  <w:tr w:rsidR="00190931">
                    <w:trPr>
                      <w:jc w:val="center"/>
                    </w:trPr>
                    <w:tc>
                      <w:tcPr>
                        <w:tcW w:w="0" w:type="auto"/>
                        <w:shd w:val="clear" w:color="auto" w:fill="FFFFFF"/>
                        <w:vAlign w:val="center"/>
                        <w:hideMark/>
                      </w:tcPr>
                      <w:tbl>
                        <w:tblPr>
                          <w:tblpPr w:vertAnchor="text"/>
                          <w:tblW w:w="9923" w:type="dxa"/>
                          <w:shd w:val="clear" w:color="auto" w:fill="1A80B6"/>
                          <w:tblCellMar>
                            <w:left w:w="0" w:type="dxa"/>
                            <w:right w:w="0" w:type="dxa"/>
                          </w:tblCellMar>
                          <w:tblLook w:val="04A0" w:firstRow="1" w:lastRow="0" w:firstColumn="1" w:lastColumn="0" w:noHBand="0" w:noVBand="1"/>
                        </w:tblPr>
                        <w:tblGrid>
                          <w:gridCol w:w="9923"/>
                        </w:tblGrid>
                        <w:tr w:rsidR="00190931" w:rsidTr="00190931">
                          <w:trPr>
                            <w:trHeight w:val="406"/>
                          </w:trPr>
                          <w:tc>
                            <w:tcPr>
                              <w:tcW w:w="9923" w:type="dxa"/>
                              <w:shd w:val="clear" w:color="auto" w:fill="1A80B6"/>
                              <w:tcMar>
                                <w:top w:w="300" w:type="dxa"/>
                                <w:left w:w="300" w:type="dxa"/>
                                <w:bottom w:w="300" w:type="dxa"/>
                                <w:right w:w="300" w:type="dxa"/>
                              </w:tcMar>
                              <w:vAlign w:val="center"/>
                              <w:hideMark/>
                            </w:tcPr>
                            <w:p w:rsidR="00190931" w:rsidRDefault="00190931">
                              <w:pPr>
                                <w:spacing w:line="540" w:lineRule="atLeast"/>
                                <w:jc w:val="center"/>
                              </w:pPr>
                              <w:r w:rsidRPr="00190931">
                                <w:rPr>
                                  <w:rFonts w:ascii="Arial" w:hAnsi="Arial" w:cs="Arial"/>
                                  <w:b/>
                                  <w:bCs/>
                                  <w:color w:val="FFFFFF"/>
                                  <w:sz w:val="36"/>
                                  <w:szCs w:val="36"/>
                                </w:rPr>
                                <w:t xml:space="preserve">Carta de </w:t>
                              </w:r>
                              <w:proofErr w:type="spellStart"/>
                              <w:r w:rsidRPr="00190931">
                                <w:rPr>
                                  <w:rFonts w:ascii="Arial" w:hAnsi="Arial" w:cs="Arial"/>
                                  <w:b/>
                                  <w:bCs/>
                                  <w:color w:val="FFFFFF"/>
                                  <w:sz w:val="36"/>
                                  <w:szCs w:val="36"/>
                                </w:rPr>
                                <w:t>Alban</w:t>
                              </w:r>
                              <w:proofErr w:type="spellEnd"/>
                              <w:r w:rsidRPr="00190931">
                                <w:rPr>
                                  <w:rFonts w:ascii="Arial" w:hAnsi="Arial" w:cs="Arial"/>
                                  <w:b/>
                                  <w:bCs/>
                                  <w:color w:val="FFFFFF"/>
                                  <w:sz w:val="36"/>
                                  <w:szCs w:val="36"/>
                                </w:rPr>
                                <w:t xml:space="preserve"> </w:t>
                              </w:r>
                              <w:proofErr w:type="spellStart"/>
                              <w:r w:rsidRPr="00190931">
                                <w:rPr>
                                  <w:rFonts w:ascii="Arial" w:hAnsi="Arial" w:cs="Arial"/>
                                  <w:b/>
                                  <w:bCs/>
                                  <w:color w:val="FFFFFF"/>
                                  <w:sz w:val="36"/>
                                  <w:szCs w:val="36"/>
                                </w:rPr>
                                <w:t>Maggiar</w:t>
                              </w:r>
                              <w:proofErr w:type="spellEnd"/>
                              <w:r w:rsidRPr="00190931">
                                <w:rPr>
                                  <w:rFonts w:ascii="Arial" w:hAnsi="Arial" w:cs="Arial"/>
                                  <w:b/>
                                  <w:bCs/>
                                  <w:color w:val="FFFFFF"/>
                                  <w:sz w:val="36"/>
                                  <w:szCs w:val="36"/>
                                </w:rPr>
                                <w:t xml:space="preserve">, President </w:t>
                              </w:r>
                              <w:proofErr w:type="spellStart"/>
                              <w:r w:rsidRPr="00190931">
                                <w:rPr>
                                  <w:rFonts w:ascii="Arial" w:hAnsi="Arial" w:cs="Arial"/>
                                  <w:b/>
                                  <w:bCs/>
                                  <w:color w:val="FFFFFF"/>
                                  <w:sz w:val="36"/>
                                  <w:szCs w:val="36"/>
                                </w:rPr>
                                <w:t>SMEunited</w:t>
                              </w:r>
                              <w:proofErr w:type="spellEnd"/>
                            </w:p>
                          </w:tc>
                        </w:tr>
                      </w:tbl>
                      <w:p w:rsidR="00190931" w:rsidRDefault="00190931">
                        <w:pPr>
                          <w:rPr>
                            <w:rFonts w:eastAsia="Times New Roman"/>
                            <w:sz w:val="20"/>
                            <w:szCs w:val="20"/>
                          </w:rPr>
                        </w:pPr>
                      </w:p>
                    </w:tc>
                  </w:tr>
                </w:tbl>
                <w:p w:rsidR="00190931" w:rsidRDefault="00190931">
                  <w:pPr>
                    <w:jc w:val="center"/>
                    <w:rPr>
                      <w:rFonts w:eastAsia="Times New Roman"/>
                      <w:sz w:val="20"/>
                      <w:szCs w:val="20"/>
                    </w:rPr>
                  </w:pPr>
                </w:p>
              </w:tc>
            </w:tr>
          </w:tbl>
          <w:p w:rsidR="00190931" w:rsidRDefault="00190931">
            <w:pPr>
              <w:jc w:val="center"/>
              <w:rPr>
                <w:rFonts w:eastAsia="Times New Roman"/>
                <w:sz w:val="20"/>
                <w:szCs w:val="20"/>
              </w:rPr>
            </w:pPr>
          </w:p>
        </w:tc>
      </w:tr>
    </w:tbl>
    <w:p w:rsidR="00190931" w:rsidRDefault="00190931" w:rsidP="00190931">
      <w:r>
        <w:rPr>
          <w:rFonts w:ascii="Arial" w:hAnsi="Arial" w:cs="Arial"/>
          <w:sz w:val="17"/>
          <w:szCs w:val="17"/>
        </w:rPr>
        <w:t> </w:t>
      </w:r>
    </w:p>
    <w:tbl>
      <w:tblPr>
        <w:tblW w:w="5000" w:type="pct"/>
        <w:shd w:val="clear" w:color="auto" w:fill="FFFFFF"/>
        <w:tblCellMar>
          <w:left w:w="0" w:type="dxa"/>
          <w:right w:w="0" w:type="dxa"/>
        </w:tblCellMar>
        <w:tblLook w:val="04A0" w:firstRow="1" w:lastRow="0" w:firstColumn="1" w:lastColumn="0" w:noHBand="0" w:noVBand="1"/>
      </w:tblPr>
      <w:tblGrid>
        <w:gridCol w:w="10204"/>
      </w:tblGrid>
      <w:tr w:rsidR="00190931" w:rsidTr="00190931">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90931">
              <w:trPr>
                <w:trHeight w:val="60"/>
                <w:jc w:val="center"/>
              </w:trPr>
              <w:tc>
                <w:tcPr>
                  <w:tcW w:w="0" w:type="auto"/>
                  <w:vAlign w:val="center"/>
                  <w:hideMark/>
                </w:tcPr>
                <w:p w:rsidR="00190931" w:rsidRDefault="00190931"/>
              </w:tc>
            </w:tr>
          </w:tbl>
          <w:p w:rsidR="00190931" w:rsidRDefault="00190931">
            <w:pPr>
              <w:jc w:val="center"/>
              <w:rPr>
                <w:rFonts w:eastAsia="Times New Roman"/>
                <w:sz w:val="20"/>
                <w:szCs w:val="20"/>
              </w:rPr>
            </w:pPr>
          </w:p>
        </w:tc>
      </w:tr>
    </w:tbl>
    <w:p w:rsidR="00190931" w:rsidRPr="00190931" w:rsidRDefault="00190931" w:rsidP="00190931">
      <w:pPr>
        <w:ind w:firstLine="284"/>
        <w:rPr>
          <w:rFonts w:ascii="Arial" w:hAnsi="Arial" w:cs="Arial"/>
          <w:b/>
          <w:bCs/>
          <w:i/>
          <w:iCs/>
          <w:color w:val="1A80B6"/>
        </w:rPr>
      </w:pPr>
      <w:r>
        <w:rPr>
          <w:rFonts w:ascii="Arial" w:hAnsi="Arial" w:cs="Arial"/>
          <w:sz w:val="17"/>
          <w:szCs w:val="17"/>
        </w:rPr>
        <w:t> </w:t>
      </w:r>
      <w:r w:rsidRPr="00190931">
        <w:rPr>
          <w:rFonts w:ascii="Arial" w:hAnsi="Arial" w:cs="Arial"/>
          <w:b/>
          <w:bCs/>
          <w:i/>
          <w:iCs/>
          <w:color w:val="1A80B6"/>
        </w:rPr>
        <w:t>Benvolgut/da amic/</w:t>
      </w:r>
      <w:proofErr w:type="spellStart"/>
      <w:r w:rsidRPr="00190931">
        <w:rPr>
          <w:rFonts w:ascii="Arial" w:hAnsi="Arial" w:cs="Arial"/>
          <w:b/>
          <w:bCs/>
          <w:i/>
          <w:iCs/>
          <w:color w:val="1A80B6"/>
        </w:rPr>
        <w:t>ga</w:t>
      </w:r>
      <w:proofErr w:type="spellEnd"/>
      <w:r w:rsidRPr="00190931">
        <w:rPr>
          <w:rFonts w:ascii="Arial" w:hAnsi="Arial" w:cs="Arial"/>
          <w:b/>
          <w:bCs/>
          <w:i/>
          <w:iCs/>
          <w:color w:val="1A80B6"/>
        </w:rPr>
        <w:t>,</w:t>
      </w:r>
    </w:p>
    <w:p w:rsidR="00190931" w:rsidRDefault="00190931" w:rsidP="00190931">
      <w:pPr>
        <w:ind w:firstLine="284"/>
        <w:rPr>
          <w:rFonts w:ascii="Arial" w:hAnsi="Arial" w:cs="Arial"/>
          <w:b/>
          <w:bCs/>
          <w:i/>
          <w:iCs/>
          <w:color w:val="1A80B6"/>
          <w:sz w:val="21"/>
          <w:szCs w:val="21"/>
        </w:rPr>
      </w:pPr>
    </w:p>
    <w:p w:rsidR="00190931" w:rsidRDefault="00190931" w:rsidP="00190931">
      <w:pPr>
        <w:ind w:left="284"/>
        <w:jc w:val="both"/>
        <w:rPr>
          <w:rFonts w:ascii="Arial" w:hAnsi="Arial" w:cs="Arial"/>
          <w:i/>
          <w:iCs/>
          <w:color w:val="5B5A5D"/>
        </w:rPr>
      </w:pPr>
      <w:r>
        <w:rPr>
          <w:rFonts w:ascii="Arial" w:hAnsi="Arial" w:cs="Arial"/>
          <w:i/>
          <w:iCs/>
          <w:color w:val="5B5A5D"/>
        </w:rPr>
        <w:t xml:space="preserve">En aquests darrers dies estem experimentant desafiaments i noves situacions d’emergència que han ocasionat conseqüències sense precedents en la nostra vida quotidiana i en el nostre context socioeconòmic. Com a representant dels interessos de les pimes catalanes a Europa, us vull transmetre les  paraules del President de </w:t>
      </w:r>
      <w:proofErr w:type="spellStart"/>
      <w:r>
        <w:rPr>
          <w:rFonts w:ascii="Arial" w:hAnsi="Arial" w:cs="Arial"/>
          <w:i/>
          <w:iCs/>
          <w:color w:val="5B5A5D"/>
        </w:rPr>
        <w:t>SMEunited</w:t>
      </w:r>
      <w:proofErr w:type="spellEnd"/>
      <w:r>
        <w:rPr>
          <w:rFonts w:ascii="Arial" w:hAnsi="Arial" w:cs="Arial"/>
          <w:i/>
          <w:iCs/>
          <w:color w:val="5B5A5D"/>
        </w:rPr>
        <w:t xml:space="preserve">, el Sr. </w:t>
      </w:r>
      <w:proofErr w:type="spellStart"/>
      <w:r>
        <w:rPr>
          <w:rFonts w:ascii="Arial" w:hAnsi="Arial" w:cs="Arial"/>
          <w:i/>
          <w:iCs/>
          <w:color w:val="5B5A5D"/>
        </w:rPr>
        <w:t>Alban</w:t>
      </w:r>
      <w:proofErr w:type="spellEnd"/>
      <w:r>
        <w:rPr>
          <w:rFonts w:ascii="Arial" w:hAnsi="Arial" w:cs="Arial"/>
          <w:i/>
          <w:iCs/>
          <w:color w:val="5B5A5D"/>
        </w:rPr>
        <w:t xml:space="preserve"> </w:t>
      </w:r>
      <w:proofErr w:type="spellStart"/>
      <w:r>
        <w:rPr>
          <w:rFonts w:ascii="Arial" w:hAnsi="Arial" w:cs="Arial"/>
          <w:i/>
          <w:iCs/>
          <w:color w:val="5B5A5D"/>
        </w:rPr>
        <w:t>Maggiar</w:t>
      </w:r>
      <w:proofErr w:type="spellEnd"/>
      <w:r>
        <w:rPr>
          <w:rFonts w:ascii="Arial" w:hAnsi="Arial" w:cs="Arial"/>
          <w:i/>
          <w:iCs/>
          <w:color w:val="5B5A5D"/>
        </w:rPr>
        <w:t xml:space="preserve">: </w:t>
      </w:r>
    </w:p>
    <w:p w:rsidR="00190931" w:rsidRDefault="00190931" w:rsidP="00190931">
      <w:pPr>
        <w:ind w:left="284"/>
        <w:jc w:val="both"/>
        <w:rPr>
          <w:rFonts w:ascii="Arial" w:hAnsi="Arial" w:cs="Arial"/>
          <w:i/>
          <w:iCs/>
          <w:color w:val="5B5A5D"/>
        </w:rPr>
      </w:pPr>
    </w:p>
    <w:p w:rsidR="00190931" w:rsidRDefault="00190931" w:rsidP="00190931">
      <w:pPr>
        <w:ind w:left="426"/>
        <w:jc w:val="both"/>
        <w:rPr>
          <w:i/>
          <w:iCs/>
          <w:sz w:val="22"/>
          <w:szCs w:val="22"/>
        </w:rPr>
      </w:pPr>
      <w:r>
        <w:rPr>
          <w:i/>
          <w:iCs/>
          <w:sz w:val="22"/>
          <w:szCs w:val="22"/>
        </w:rPr>
        <w:t xml:space="preserve">L’equip de </w:t>
      </w:r>
      <w:proofErr w:type="spellStart"/>
      <w:r>
        <w:rPr>
          <w:i/>
          <w:iCs/>
          <w:sz w:val="22"/>
          <w:szCs w:val="22"/>
        </w:rPr>
        <w:t>SMEunited</w:t>
      </w:r>
      <w:proofErr w:type="spellEnd"/>
      <w:r>
        <w:rPr>
          <w:i/>
          <w:iCs/>
          <w:sz w:val="22"/>
          <w:szCs w:val="22"/>
        </w:rPr>
        <w:t xml:space="preserve"> està en contacte continu amb les Institucions Europees ( Comissió i Consell) per debatre sobre mesures puguin donar resposta a les inquietuds de la població. Com a Agent Social Europeu, estem en contacte permanent amb el President del Consell Europeu, el President Charles Michel, i el </w:t>
      </w:r>
      <w:proofErr w:type="spellStart"/>
      <w:r>
        <w:rPr>
          <w:i/>
          <w:iCs/>
          <w:sz w:val="22"/>
          <w:szCs w:val="22"/>
        </w:rPr>
        <w:t>Vice</w:t>
      </w:r>
      <w:proofErr w:type="spellEnd"/>
      <w:r>
        <w:rPr>
          <w:i/>
          <w:iCs/>
          <w:sz w:val="22"/>
          <w:szCs w:val="22"/>
        </w:rPr>
        <w:t xml:space="preserve"> President Executiu de la Comissió, el Sr. </w:t>
      </w:r>
      <w:proofErr w:type="spellStart"/>
      <w:r>
        <w:rPr>
          <w:i/>
          <w:iCs/>
          <w:sz w:val="22"/>
          <w:szCs w:val="22"/>
        </w:rPr>
        <w:t>Valdis</w:t>
      </w:r>
      <w:proofErr w:type="spellEnd"/>
      <w:r>
        <w:rPr>
          <w:i/>
          <w:iCs/>
          <w:sz w:val="22"/>
          <w:szCs w:val="22"/>
        </w:rPr>
        <w:t xml:space="preserve"> </w:t>
      </w:r>
      <w:proofErr w:type="spellStart"/>
      <w:r>
        <w:rPr>
          <w:i/>
          <w:iCs/>
          <w:sz w:val="22"/>
          <w:szCs w:val="22"/>
        </w:rPr>
        <w:t>Dombrovskis</w:t>
      </w:r>
      <w:proofErr w:type="spellEnd"/>
      <w:r>
        <w:rPr>
          <w:i/>
          <w:iCs/>
          <w:sz w:val="22"/>
          <w:szCs w:val="22"/>
        </w:rPr>
        <w:t xml:space="preserve"> i el Comissionat de Treball i Drets Socials, Nicolas </w:t>
      </w:r>
      <w:proofErr w:type="spellStart"/>
      <w:r>
        <w:rPr>
          <w:i/>
          <w:iCs/>
          <w:sz w:val="22"/>
          <w:szCs w:val="22"/>
        </w:rPr>
        <w:t>Schmit</w:t>
      </w:r>
      <w:proofErr w:type="spellEnd"/>
      <w:r>
        <w:rPr>
          <w:i/>
          <w:iCs/>
          <w:sz w:val="22"/>
          <w:szCs w:val="22"/>
        </w:rPr>
        <w:t>.</w:t>
      </w:r>
    </w:p>
    <w:p w:rsidR="00190931" w:rsidRDefault="00190931" w:rsidP="00190931">
      <w:pPr>
        <w:ind w:left="708"/>
        <w:jc w:val="both"/>
        <w:rPr>
          <w:i/>
          <w:iCs/>
          <w:sz w:val="22"/>
          <w:szCs w:val="22"/>
        </w:rPr>
      </w:pPr>
    </w:p>
    <w:p w:rsidR="00190931" w:rsidRDefault="00190931" w:rsidP="00190931">
      <w:pPr>
        <w:ind w:firstLine="426"/>
        <w:jc w:val="both"/>
        <w:rPr>
          <w:i/>
          <w:iCs/>
          <w:sz w:val="22"/>
          <w:szCs w:val="22"/>
        </w:rPr>
      </w:pPr>
      <w:r>
        <w:rPr>
          <w:i/>
          <w:iCs/>
          <w:sz w:val="22"/>
          <w:szCs w:val="22"/>
        </w:rPr>
        <w:t>La Unió Europea ja ha pres mesures, entre les quals  s’han previst:</w:t>
      </w:r>
    </w:p>
    <w:p w:rsidR="00190931" w:rsidRDefault="00190931" w:rsidP="00190931">
      <w:pPr>
        <w:ind w:left="709" w:hanging="283"/>
        <w:jc w:val="both"/>
      </w:pPr>
      <w:r>
        <w:rPr>
          <w:rFonts w:ascii="Calibri" w:hAnsi="Calibri" w:cs="Calibri"/>
          <w:sz w:val="22"/>
          <w:szCs w:val="22"/>
          <w:lang w:eastAsia="en-US"/>
        </w:rPr>
        <w:t> </w:t>
      </w:r>
    </w:p>
    <w:p w:rsidR="00190931" w:rsidRPr="00190931" w:rsidRDefault="00190931" w:rsidP="00190931">
      <w:pPr>
        <w:numPr>
          <w:ilvl w:val="0"/>
          <w:numId w:val="1"/>
        </w:numPr>
        <w:ind w:left="709" w:hanging="283"/>
        <w:contextualSpacing/>
        <w:jc w:val="both"/>
      </w:pPr>
      <w:r>
        <w:rPr>
          <w:i/>
          <w:iCs/>
          <w:sz w:val="22"/>
          <w:szCs w:val="22"/>
        </w:rPr>
        <w:t xml:space="preserve">Iniciativa d’Inversió Corona </w:t>
      </w:r>
      <w:proofErr w:type="spellStart"/>
      <w:r>
        <w:rPr>
          <w:i/>
          <w:iCs/>
          <w:sz w:val="22"/>
          <w:szCs w:val="22"/>
        </w:rPr>
        <w:t>Response</w:t>
      </w:r>
      <w:proofErr w:type="spellEnd"/>
      <w:r>
        <w:rPr>
          <w:i/>
          <w:iCs/>
          <w:sz w:val="22"/>
          <w:szCs w:val="22"/>
        </w:rPr>
        <w:t>: dotat amb 37 mil milions + mil milions destinats a les Pimes;</w:t>
      </w:r>
    </w:p>
    <w:p w:rsidR="00190931" w:rsidRPr="00190931" w:rsidRDefault="00190931" w:rsidP="00190931">
      <w:pPr>
        <w:numPr>
          <w:ilvl w:val="0"/>
          <w:numId w:val="1"/>
        </w:numPr>
        <w:ind w:left="709" w:hanging="283"/>
        <w:contextualSpacing/>
        <w:jc w:val="both"/>
      </w:pPr>
      <w:r w:rsidRPr="00190931">
        <w:rPr>
          <w:i/>
          <w:iCs/>
          <w:sz w:val="22"/>
          <w:szCs w:val="22"/>
        </w:rPr>
        <w:t>Màxima flexibilitat per a les regles del Pacte d’Estabilitat i Creixement i l’activació de la “Clàusula de Fuita General”;</w:t>
      </w:r>
    </w:p>
    <w:p w:rsidR="00190931" w:rsidRDefault="00190931" w:rsidP="00190931">
      <w:pPr>
        <w:numPr>
          <w:ilvl w:val="0"/>
          <w:numId w:val="1"/>
        </w:numPr>
        <w:ind w:left="709" w:hanging="283"/>
        <w:contextualSpacing/>
        <w:jc w:val="both"/>
      </w:pPr>
      <w:r w:rsidRPr="00190931">
        <w:rPr>
          <w:i/>
          <w:iCs/>
          <w:sz w:val="22"/>
          <w:szCs w:val="22"/>
        </w:rPr>
        <w:t>Mesures d’ajuda Estatal: aprovació ràpida i flexible dels règims d’ajuda estatal dels Estats membres;</w:t>
      </w:r>
    </w:p>
    <w:p w:rsidR="00190931" w:rsidRPr="00190931" w:rsidRDefault="00190931" w:rsidP="00190931">
      <w:pPr>
        <w:numPr>
          <w:ilvl w:val="0"/>
          <w:numId w:val="1"/>
        </w:numPr>
        <w:ind w:left="709" w:hanging="283"/>
        <w:contextualSpacing/>
        <w:jc w:val="both"/>
      </w:pPr>
      <w:r w:rsidRPr="00190931">
        <w:rPr>
          <w:i/>
          <w:iCs/>
          <w:sz w:val="22"/>
          <w:szCs w:val="22"/>
        </w:rPr>
        <w:t>Directrius de la gestió de fronteres;</w:t>
      </w:r>
    </w:p>
    <w:p w:rsidR="00460490" w:rsidRDefault="00190931" w:rsidP="00460490">
      <w:pPr>
        <w:numPr>
          <w:ilvl w:val="0"/>
          <w:numId w:val="1"/>
        </w:numPr>
        <w:ind w:left="709" w:hanging="283"/>
        <w:contextualSpacing/>
        <w:jc w:val="both"/>
      </w:pPr>
      <w:r w:rsidRPr="00190931">
        <w:rPr>
          <w:i/>
          <w:iCs/>
          <w:sz w:val="22"/>
          <w:szCs w:val="22"/>
        </w:rPr>
        <w:t>Guia d’orientació sobre l’aplicació de les normes vigents a la UE (per exemple Llei de competència de la UE, lliure circulació de les persones treballadores);</w:t>
      </w:r>
    </w:p>
    <w:p w:rsidR="00190931" w:rsidRPr="00190931" w:rsidRDefault="00190931" w:rsidP="00460490">
      <w:pPr>
        <w:numPr>
          <w:ilvl w:val="0"/>
          <w:numId w:val="1"/>
        </w:numPr>
        <w:ind w:left="709" w:hanging="283"/>
        <w:contextualSpacing/>
        <w:jc w:val="both"/>
      </w:pPr>
      <w:r w:rsidRPr="00460490">
        <w:rPr>
          <w:i/>
          <w:iCs/>
          <w:sz w:val="22"/>
          <w:szCs w:val="22"/>
        </w:rPr>
        <w:t>Determinació de mesures per facilitar l’adquisició d’equipament mèdic per respondre a les demandes de la crisis.</w:t>
      </w:r>
    </w:p>
    <w:p w:rsidR="00190931" w:rsidRDefault="00190931" w:rsidP="00190931">
      <w:pPr>
        <w:contextualSpacing/>
        <w:jc w:val="both"/>
      </w:pPr>
    </w:p>
    <w:p w:rsidR="00190931" w:rsidRDefault="00190931" w:rsidP="00190931">
      <w:pPr>
        <w:ind w:left="426"/>
        <w:jc w:val="both"/>
        <w:rPr>
          <w:i/>
          <w:iCs/>
          <w:sz w:val="22"/>
          <w:szCs w:val="22"/>
        </w:rPr>
      </w:pPr>
      <w:r>
        <w:rPr>
          <w:i/>
          <w:iCs/>
          <w:sz w:val="22"/>
          <w:szCs w:val="22"/>
        </w:rPr>
        <w:t>Altres mesures addicionals requerides es refereixen a promoure valors solidaris, salvaguardar la integritat del Mercat Únic, garantir una gestió de fronteres adequada i proporcionada, proporcionar liquiditat a les Artesanies i les PIME (per exemple, les autoritats públiques han de pagar les seves factures a temps), creació de fons addicionals per a plans de desocupació temporal a curt termini, mesures per salvaguardar l’estabilitat fiscal en la Unió Monetària Europea, ajornament de l'entrada en vigor de certa legislació nova (per exemple, Reglament sobre dispositius mèdics), implementació avançada d'una altra legislació (per exemple, Directiva d'insolvència), etc. A més, la Comissió i el Consell s'estan preparant per a una estratègia de recuperació i sortida perquè la nostra economia i la nostra societat tornin a funcionar quan hagi passat l’emergència.</w:t>
      </w:r>
    </w:p>
    <w:p w:rsidR="00190931" w:rsidRDefault="00190931" w:rsidP="00190931">
      <w:pPr>
        <w:ind w:left="426"/>
        <w:jc w:val="both"/>
        <w:rPr>
          <w:i/>
          <w:iCs/>
          <w:sz w:val="22"/>
          <w:szCs w:val="22"/>
        </w:rPr>
      </w:pPr>
    </w:p>
    <w:p w:rsidR="00190931" w:rsidRDefault="00190931" w:rsidP="00190931">
      <w:pPr>
        <w:ind w:left="426"/>
        <w:jc w:val="both"/>
        <w:rPr>
          <w:i/>
          <w:iCs/>
          <w:sz w:val="22"/>
          <w:szCs w:val="22"/>
        </w:rPr>
      </w:pPr>
      <w:proofErr w:type="spellStart"/>
      <w:r>
        <w:rPr>
          <w:i/>
          <w:iCs/>
          <w:sz w:val="22"/>
          <w:szCs w:val="22"/>
        </w:rPr>
        <w:t>SMEunited</w:t>
      </w:r>
      <w:proofErr w:type="spellEnd"/>
      <w:r>
        <w:rPr>
          <w:i/>
          <w:iCs/>
          <w:sz w:val="22"/>
          <w:szCs w:val="22"/>
        </w:rPr>
        <w:t xml:space="preserve"> està treballant per garantir que les Artesanies i Pimes puguin rebre el recolzament necessari per superar aquest període desafiador.</w:t>
      </w:r>
    </w:p>
    <w:p w:rsidR="00190931" w:rsidRDefault="00190931" w:rsidP="00190931">
      <w:pPr>
        <w:ind w:left="426"/>
        <w:jc w:val="both"/>
      </w:pPr>
    </w:p>
    <w:p w:rsidR="00190931" w:rsidRDefault="00190931" w:rsidP="00190931">
      <w:pPr>
        <w:ind w:firstLine="426"/>
        <w:jc w:val="both"/>
        <w:rPr>
          <w:i/>
          <w:iCs/>
          <w:sz w:val="22"/>
          <w:szCs w:val="22"/>
        </w:rPr>
      </w:pPr>
      <w:r>
        <w:rPr>
          <w:i/>
          <w:iCs/>
          <w:sz w:val="22"/>
          <w:szCs w:val="22"/>
        </w:rPr>
        <w:t>Us saluda molt atentament,</w:t>
      </w:r>
      <w:bookmarkStart w:id="0" w:name="_GoBack"/>
      <w:bookmarkEnd w:id="0"/>
    </w:p>
    <w:p w:rsidR="00460490" w:rsidRDefault="00460490" w:rsidP="00190931">
      <w:pPr>
        <w:ind w:firstLine="426"/>
        <w:jc w:val="both"/>
      </w:pPr>
    </w:p>
    <w:p w:rsidR="00190931" w:rsidRPr="00460490" w:rsidRDefault="00190931" w:rsidP="00460490">
      <w:pPr>
        <w:ind w:left="284"/>
        <w:jc w:val="both"/>
      </w:pPr>
      <w:r w:rsidRPr="00460490">
        <w:rPr>
          <w:i/>
          <w:iCs/>
          <w:sz w:val="22"/>
          <w:szCs w:val="22"/>
        </w:rPr>
        <w:t> </w:t>
      </w:r>
      <w:proofErr w:type="spellStart"/>
      <w:r w:rsidRPr="00460490">
        <w:rPr>
          <w:i/>
          <w:iCs/>
          <w:sz w:val="22"/>
          <w:szCs w:val="22"/>
        </w:rPr>
        <w:t>Alban</w:t>
      </w:r>
      <w:proofErr w:type="spellEnd"/>
      <w:r w:rsidRPr="00460490">
        <w:rPr>
          <w:i/>
          <w:iCs/>
          <w:sz w:val="22"/>
          <w:szCs w:val="22"/>
        </w:rPr>
        <w:t xml:space="preserve"> </w:t>
      </w:r>
      <w:proofErr w:type="spellStart"/>
      <w:r w:rsidRPr="00460490">
        <w:rPr>
          <w:i/>
          <w:iCs/>
          <w:sz w:val="22"/>
          <w:szCs w:val="22"/>
        </w:rPr>
        <w:t>Maggiar</w:t>
      </w:r>
      <w:proofErr w:type="spellEnd"/>
    </w:p>
    <w:p w:rsidR="00190931" w:rsidRPr="00460490" w:rsidRDefault="00460490" w:rsidP="00460490">
      <w:pPr>
        <w:ind w:left="284"/>
        <w:jc w:val="both"/>
      </w:pPr>
      <w:r w:rsidRPr="00460490">
        <w:rPr>
          <w:i/>
          <w:iCs/>
          <w:sz w:val="22"/>
          <w:szCs w:val="22"/>
        </w:rPr>
        <w:t xml:space="preserve"> </w:t>
      </w:r>
      <w:r w:rsidR="00190931" w:rsidRPr="00460490">
        <w:rPr>
          <w:i/>
          <w:iCs/>
          <w:sz w:val="22"/>
          <w:szCs w:val="22"/>
        </w:rPr>
        <w:t>President</w:t>
      </w:r>
    </w:p>
    <w:p w:rsidR="00190931" w:rsidRDefault="00190931" w:rsidP="00190931">
      <w:pPr>
        <w:ind w:left="993"/>
        <w:jc w:val="both"/>
      </w:pPr>
    </w:p>
    <w:p w:rsidR="00460490" w:rsidRDefault="00460490" w:rsidP="00460490">
      <w:pPr>
        <w:ind w:left="284"/>
        <w:jc w:val="both"/>
        <w:rPr>
          <w:rFonts w:ascii="Arial" w:hAnsi="Arial" w:cs="Arial"/>
          <w:i/>
          <w:iCs/>
          <w:color w:val="5B5A5D"/>
        </w:rPr>
      </w:pPr>
    </w:p>
    <w:p w:rsidR="00460490" w:rsidRPr="00460490" w:rsidRDefault="00460490" w:rsidP="00460490">
      <w:pPr>
        <w:ind w:left="284"/>
        <w:jc w:val="both"/>
        <w:rPr>
          <w:rFonts w:ascii="Arial" w:hAnsi="Arial" w:cs="Arial"/>
          <w:i/>
          <w:iCs/>
          <w:color w:val="5B5A5D"/>
          <w:sz w:val="32"/>
          <w:szCs w:val="32"/>
        </w:rPr>
      </w:pPr>
      <w:r>
        <w:rPr>
          <w:rFonts w:ascii="Arial" w:hAnsi="Arial" w:cs="Arial"/>
          <w:i/>
          <w:iCs/>
          <w:color w:val="5B5A5D"/>
        </w:rPr>
        <w:t>Cordialment,</w:t>
      </w:r>
    </w:p>
    <w:p w:rsidR="00460490" w:rsidRDefault="00460490" w:rsidP="00460490">
      <w:pPr>
        <w:ind w:left="284"/>
        <w:jc w:val="both"/>
        <w:rPr>
          <w:rFonts w:ascii="Arial" w:hAnsi="Arial" w:cs="Arial"/>
          <w:i/>
          <w:iCs/>
          <w:color w:val="5B5A5D"/>
        </w:rPr>
      </w:pPr>
      <w:r>
        <w:rPr>
          <w:rFonts w:ascii="Arial" w:hAnsi="Arial" w:cs="Arial"/>
          <w:i/>
          <w:iCs/>
          <w:color w:val="5B5A5D"/>
        </w:rPr>
        <w:t xml:space="preserve">Mª Helena de Felipe </w:t>
      </w:r>
      <w:proofErr w:type="spellStart"/>
      <w:r>
        <w:rPr>
          <w:rFonts w:ascii="Arial" w:hAnsi="Arial" w:cs="Arial"/>
          <w:i/>
          <w:iCs/>
          <w:color w:val="5B5A5D"/>
        </w:rPr>
        <w:t>Lethonen</w:t>
      </w:r>
      <w:proofErr w:type="spellEnd"/>
    </w:p>
    <w:p w:rsidR="00460490" w:rsidRPr="00460490" w:rsidRDefault="00460490" w:rsidP="00460490">
      <w:pPr>
        <w:ind w:left="5948" w:firstLine="424"/>
        <w:jc w:val="both"/>
        <w:rPr>
          <w:rFonts w:ascii="Arial" w:hAnsi="Arial" w:cs="Arial"/>
          <w:i/>
          <w:iCs/>
          <w:color w:val="808080" w:themeColor="background1" w:themeShade="80"/>
        </w:rPr>
      </w:pPr>
      <w:r w:rsidRPr="00460490">
        <w:rPr>
          <w:rFonts w:ascii="Arial" w:hAnsi="Arial" w:cs="Arial"/>
          <w:i/>
          <w:iCs/>
          <w:color w:val="808080" w:themeColor="background1" w:themeShade="80"/>
        </w:rPr>
        <w:t>Barcelona, 6 d’abril de 2020</w:t>
      </w:r>
    </w:p>
    <w:p w:rsidR="0031300E" w:rsidRDefault="0031300E" w:rsidP="00460490"/>
    <w:sectPr w:rsidR="0031300E" w:rsidSect="0019093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4112E"/>
    <w:multiLevelType w:val="hybridMultilevel"/>
    <w:tmpl w:val="98F4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31"/>
    <w:rsid w:val="00190931"/>
    <w:rsid w:val="0031300E"/>
    <w:rsid w:val="00436384"/>
    <w:rsid w:val="00460490"/>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946"/>
  <w15:chartTrackingRefBased/>
  <w15:docId w15:val="{5C345CF0-A4BB-46F7-95D9-5FF6E377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31"/>
    <w:pPr>
      <w:spacing w:after="0" w:line="240" w:lineRule="auto"/>
    </w:pPr>
    <w:rPr>
      <w:rFonts w:ascii="Times New Roman" w:hAnsi="Times New Roman" w:cs="Times New Roman"/>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ink.clickdimensions.com/c/6/?T=NDAyMjQxOTg%3AMDItYjIwMDgwLTViMDkwNDBiYzM5NTRmNDI5MmY4NzY1NmM0YzRhMDI1%3AanBsYUBmZXBpbWUuY29t%3AY29udGFjdC0yNmYzODM5NmYxMGFlNzExOTlhNzAwNTA1NmIyNDk0MS1jOWVkNzQ3MzE4MDM0NDEzYTJjNzZhYTZhYjYwZmVlMw%3AZmFsc2U%3AMA%3A%3AaHR0cDovL3d3dy5mZXBpbWUuY2F0P19jbGRlZT1hbkJzWVVCbVpYQnBiV1V1WTI5dCZyZWNpcGllbnRpZD1jb250YWN0LTI2ZjM4Mzk2ZjEwYWU3MTE5OWE3MDA1MDU2YjI0OTQxLWM5ZWQ3NDczMTgwMzQ0MTNhMmM3NmFhNmFiNjBmZWUzJmVzaWQ9MGI2ZjE2ZTQtYjM2YS1lYTExLWJlMTUtMDA1MDU2YjI0OTQx&amp;K=s5sll83i7zPf09RDIzQbj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2020-04-06T18:53:00Z</dcterms:created>
  <dcterms:modified xsi:type="dcterms:W3CDTF">2020-04-06T19:10:00Z</dcterms:modified>
</cp:coreProperties>
</file>